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47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</w:tblGrid>
      <w:tr w:rsidR="00DB3F3E" w:rsidRPr="00DB3F3E" w:rsidTr="0095450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4"/>
            </w:tblGrid>
            <w:tr w:rsidR="00DB3F3E" w:rsidRPr="0095450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154C09" w:rsidRPr="00954501" w:rsidRDefault="00DB3F3E" w:rsidP="00DB3F3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b/>
                      <w:bCs/>
                      <w:color w:val="584C2E"/>
                      <w:lang w:eastAsia="pl-PL"/>
                    </w:rPr>
                    <w:t>Kierownik Zakładu Gospodarki Komunalnej w Łącznej ogłasza nabór na wolne stanowisko urzędnicze</w:t>
                  </w:r>
                  <w:r w:rsidRPr="0095450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Kierownik Zakładu Gospodarki Komunalnej w Łącznej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ogłasza nabór na wolne stanowisko urzędnicze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I. Określenie stanowiska urzędniczego: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b/>
                      <w:color w:val="535353"/>
                      <w:lang w:eastAsia="pl-PL"/>
                    </w:rPr>
                    <w:t>Główny księgowy w Zakładzie Gospodarki Komunalnej w Łącznej.</w:t>
                  </w:r>
                </w:p>
                <w:p w:rsidR="00154C09" w:rsidRPr="00954501" w:rsidRDefault="00DB3F3E" w:rsidP="00DB3F3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II.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Wymagania niezb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ędne: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Kandydatem na stanowisko G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łównego k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sięgowego może być osoba, która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:</w:t>
                  </w:r>
                </w:p>
                <w:p w:rsidR="00954501" w:rsidRDefault="00DB3F3E" w:rsidP="00DB3F3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1. Posiada obywatelstwo państwa członkowskiego Unii Europejskiej, Konfederacji Szwajcarskiej lub państwa członkowskiego Europejskiego Porozumienia o Wolnym Handlu (EFTA) - strony umowy o Europejskim Obszarze Gospodarczym oraz posiada znajomość języka polskiego w mowie i piśmie w zakresie koniecznym do wykonywania obowiązków głównego księgowego, potwierdzone dokumentem określonym w przepisach o służbie cywilnej. </w:t>
                  </w:r>
                </w:p>
                <w:p w:rsidR="00154C09" w:rsidRPr="00954501" w:rsidRDefault="00DB3F3E" w:rsidP="00DB3F3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2. Posiada zdolność do czynności prawnych oraz korzysta z pełni praw publicznych.</w:t>
                  </w:r>
                </w:p>
                <w:p w:rsidR="00154C09" w:rsidRPr="00954501" w:rsidRDefault="00DB3F3E" w:rsidP="00DB3F3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3. Nie była prawomocnie skazana za przestępstwa; przeciwko mieniu, przeciwko obrotowi gospodarczemu, przeciwko działalności instytucji państwowych oraz samorządu terytorialnego, przeciwko wiarygodności dokumentów lub za przestępstwo skarbowe.</w:t>
                  </w:r>
                </w:p>
                <w:p w:rsidR="00154C09" w:rsidRPr="00397B76" w:rsidRDefault="00DB3F3E" w:rsidP="00DB3F3E">
                  <w:pPr>
                    <w:spacing w:after="24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4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.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Spełnia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jeden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z poniższych warunków: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- ukończyła wyższe studnia ekonomiczne jednolite studia magisterskie, ekonomiczne wyższe studia zawodowe, uzupełniające ekonomiczne studia magisterskie lub ekonomiczne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studia podyplomowe i posiada c</w:t>
                  </w:r>
                  <w:r w:rsidR="00907F59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najmniej 3-letnią praktykę w księgowości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- posiada certyfikat księgowy uprawniający do usługowego prowadzenia ksiąg rachunkowych albo świadectwo kwalifikacyjne uprawniające do usługowego prowadzenia ksiąg rachunkowych wydane na podstawie odrębnych przepisów.</w:t>
                  </w:r>
                </w:p>
                <w:p w:rsidR="00397B76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5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 Nie była karana zakazem pełnienia funkcji związanych z dysponowaniem środkami publicznymi, o których mowa w art.31 ustawy z dnia 17 grudnia 2004r. o odpowiedzialności za naruszenie dyscypliny finansów publicznych (Dz.U. z 2013 r., poz.168 )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6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 Posiada bardzo dobrą znajomość przepisów prawa w zakresie: rachunkowości, ustawy o podatku od towarów i usług, ustawy o podatku dochodowym od osób prawnych oraz od osób fizycznych, ustawy o finansów publicznych, odpowiedzialności za naruszenie dyscypliny finansów publicznych, ustawy o ubezpieczeniach społecznych i umiejętność ich stosowania.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7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. Posiada wystarczającą wiedzę i umiejętności do klasyfikowania (dekretacji) zdarzeń gospodarczych oraz umiejętności do prowadzenia księgowości komputerowej , 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8. Stan zdrowia pozwalający na zatrudnienie na proponowanym stanowisku.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9. Cieszy się </w:t>
                  </w:r>
                  <w:r w:rsidR="007C550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dobrą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opinią.</w:t>
                  </w:r>
                </w:p>
                <w:p w:rsidR="00907F59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lastRenderedPageBreak/>
                    <w:t>III. Wymagania dodatkowe: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1. Doświadczenie zawodowe w jednostkach budżetowych na stanowisku księgowego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– minimum </w:t>
                  </w:r>
                  <w:r w:rsidR="008221B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3 </w:t>
                  </w:r>
                  <w:r w:rsid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lat</w:t>
                  </w:r>
                  <w:r w:rsidR="008221B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a.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2. Znajomość zasad księgowości, planu kont i klasyfikacji budżetowej oraz zasad gospodarki finansowej jednostek budżetowych i dyscypliny finansów publicznych.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3.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Posiada ogólną znajomość zasad finansowania zadań samorządowych zakładów budżetowych na szczeblu gminy jako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,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organu samorządu terytorialnego. 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4. 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Posiada umiejętność sporządzania analiz danych statystycznych, tworzenia prognoz, zestawień, planów w oparciu o materiały źródłowe i przewidywane założenia.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5. Posiada cechy osobowości takie jak: odpowiedzialność, samodzielność, dokładność, sumienność, rzetelność, komunikatywność, terminowość, umiejętność sprawnego podejmowania decyzji, chęć doskonalenia i pogłębiania wiedzy w zakresie wykonywanego stanowiska, umiejętność korzystania z przepisów prawa.</w:t>
                  </w:r>
                  <w:r w:rsidR="00247A7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                                                                 6. Posiada dobrą znajomość obsługi komputera.                                                                             7. Posiada umiejętność obsługi programów MS Office.                                                                         8. Posiada umiejętność obsługi programów księgowych i kadrowych zainstalowanych </w:t>
                  </w:r>
                  <w:r w:rsidR="00D036F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w </w:t>
                  </w:r>
                  <w:r w:rsidR="00247A7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ZGK</w:t>
                  </w:r>
                  <w:r w:rsidR="007179F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Łączna</w:t>
                  </w:r>
                  <w:r w:rsidR="00247A7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lub innych programów posiadających możliwości eksportu </w:t>
                  </w:r>
                  <w:r w:rsidR="007C550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i</w:t>
                  </w:r>
                  <w:r w:rsidR="00247A7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importu danych archiwalnych</w:t>
                  </w:r>
                  <w:r w:rsidR="00AC304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</w:t>
                  </w:r>
                </w:p>
                <w:p w:rsidR="00397B76" w:rsidRDefault="00142A78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                                                                                     </w:t>
                  </w:r>
                  <w:r w:rsidR="007C550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                              </w:t>
                  </w:r>
                  <w:r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                                                                                                                        </w:t>
                  </w:r>
                  <w:r w:rsidR="00247A7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   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IV. Zakres obowiązków i wykonywanych zadań na stanowisku 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G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łównego księgowego.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1. prowadzenie rachunkowości Zakładu zgodnie z obowiązującymi przepisami,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2. wykonywanie dyspozycji środkami pieniężnymi z rachunków Zakładu,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3. dokonywanie wstępnej kontroli zgodności operacji gospodarczych i finansowych z planem finansowym Zakładu,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4. dokonywanie wstępnej kontroli kompletności i rzetelności dokumentów dotyczących operacji gospodarczych i finansowych oraz ich dekretację,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5. przygotowywanie projektów budżetów oraz harmonogramu wydatków Zakładu,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6. sporządzanie bilansu, prowadzenie sprawozdawczości budżetowej i podatkowej, wykonywanie analiz, zestawień oraz prognoz kosztów i wydatków Zakładu,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7. opracowywanie projektów przepisów wewnętrznych,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8. naliczanie wynagrodzeń, składek ZUS, zaliczek podatkowych oraz prowadzenie spraw ubezpieczeniowych pracowników wraz z ich terminowym przekazywaniem,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9. sporządzanie deklaracji podatkowych i raportów ZUS,</w:t>
                  </w:r>
                  <w:r w:rsidR="007179F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VAT i innych,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10. przestrzeganie zasad rozliczeń pieniężnych wraz z analizą wykorzystanych środków,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11. prowadzenie nadzoru nad przechowywaniem i archiwizacją dokumentacji księgowej,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12. nadzorowanie przestrzegania dyscypliny finansów publicznych,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13. nadzorowanie prawidłowego przebiegu przekazywania składników majątkowych, oraz zasad inwentaryzacji i likwidacji środków trwałych i wyposażenia,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14. sporządzanie naliczenia odpisów na ZFŚS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15. rozliczanie środków przydzielonych z budżetu Gminy,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16. prowadzenie korespondencji w zakresie spraw finansowych,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17. sporządzanie obowiązujących sprawozdań finansowych i statystycznych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18. należyte przechowywanie i zabezpieczenie dokumentów finasowo-księgowych,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19. nadzorowanie ściągalności należności Zakładu w tym prowadzonych postępowań sądowych i egzekucyjnych,</w:t>
                  </w:r>
                </w:p>
                <w:p w:rsidR="00397B76" w:rsidRDefault="00876C5F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20.współodpowiedzialność za wyniki rzeczowe i finansowe Zakładu.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2</w:t>
                  </w:r>
                  <w:r w:rsidR="003F42B0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1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. 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wykonywanie innych nie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wymienionych wyżej zadań, które z mocy prawa lub przepisów wewnętrznych wydanych przez Kierownika jednostki należą do kompetencji głównego księgowego.</w:t>
                  </w:r>
                </w:p>
                <w:p w:rsidR="00397B76" w:rsidRDefault="00397B76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</w:p>
                <w:p w:rsidR="00D30300" w:rsidRDefault="002E3792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lastRenderedPageBreak/>
                    <w:t>V. Warunki pracy: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a) wymiar czasu pracy: pełny etat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b) miejsce pracy: Zakład Gospodarki Komunalnej w Łącznej, Łączna 115, parter,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c) dobre warunki pracy - praca jednozmianowa,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d) praca przy komputerze powyżej 4 godzin dziennie,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e) możliwość dokształcania i podnoszenia własnych kwalifikacji zawodowych,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f) wynagrodzenie wg obowiązującego Regulaminu wynagradzania pracowników zatrudnionych w Zakładzie,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g)</w:t>
                  </w:r>
                  <w:r w:rsidR="007179F8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zatrudnienia na podstawie umowy o pracę na czas </w:t>
                  </w:r>
                  <w:r w:rsidR="005E78C7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</w:t>
                  </w:r>
                  <w:r w:rsidR="007179F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kreślony </w:t>
                  </w:r>
                  <w:r w:rsidR="005E78C7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od 01.03.2019r do 31.08.2019 </w:t>
                  </w:r>
                  <w:r w:rsidR="007179F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na stanowisku</w:t>
                  </w:r>
                  <w:r w:rsidR="005E78C7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</w:t>
                  </w:r>
                  <w:r w:rsidR="007179F8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Głównego Księgowego.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VI. Wskaźnik zatrudnienia osób niepełnosprawnych w miesiącu poprzedzającym datę upublicznienia ogłoszenia w tut. Zakładzie w rozumieniu przepisów o rehabilitacji zawodowej i społecznej oraz zatrudnieniu osób niepełnosprawnych wynosi powyżej 6%.</w:t>
                  </w:r>
                </w:p>
                <w:p w:rsidR="007918AD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VII. Wykaz wymaganych dokumentów: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1. List motywacyjny.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2. Życiorys (CV) z dokładnym opisem przebiegu pracy zawodowej.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3. Kwestionariusz osobowy dla osoby ubiegającej się o zatrudnienie,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4. Kserokopie dyplomu i innych dokumentów potwierdzających posiadane kwalifikacje i umiejętności zawodowe (poświadczone przez kandydata za zgodność z oryginałem).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5. Kserokopie świadectw pracy (poświadczone przez kandydata za zgodność z oryginałem).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6. Kserokopie zaświadczeń o ukończonych kursach, szkoleniach (poświadczone przez kandydata za zgodność z oryginałem).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7. Oświadczenie o braku przeciwwskazań zdrowotnych do pracy na zajmowanym stanowisku.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8. Oświadczenie :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a. 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 niekaralności za przestępstw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 popełnione umyślnie,</w:t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b. o nie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toczącym się przeciwko kandydatowi postępowaniu karnym,</w:t>
                  </w:r>
                  <w:r w:rsidR="002E3792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c. 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o posiadaniu pełnej zdolności do czynności prawnych oraz korzystaniu w pełni z praw publicznych,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d. o wyrażeniu zgody na przetwarzanie danych osobowych zgodnie z art.23 ust.1pkt1 ustawy z dnia 29 sierpnia 1997r. o ochronie danych osobowych (Dz.U. z 2015r., poz.2135 z późn. zm.) dla celów rekrutacji.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e. o niekaralności za przestępstwa przeciwko mieniu, przeciwko obrotowi gospodarczemu, przeciwko działalności instytucji państwowych oraz samorządu terytorialnego, przeciwko wiarygodności dokumentów lub za przestępstwo skarbowe. Z zastrzeżeniem, iż w przypadku wyboru kandydata na stanowisko głównego księgowego przed zawarciem umowy należy dostarczyć zaświadczenie o niekaralności w w/w zakresie.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</w:p>
                <w:p w:rsidR="00397B76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VIII. Termin i miejsca składania dokumentów</w:t>
                  </w:r>
                  <w:r w:rsidR="00D30300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Oferty z wymaganymi dokumentami kandydaci powinni składać w zamkniętych kopertach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z </w:t>
                  </w:r>
                  <w:r w:rsidR="003F42B0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dopiskiem „Nabór na stanowisko Głównego K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sięgowego ZGK w Łącznej” drogą pocztową lub osobiście w siedzibie Zakładu (pokój Kierownika) , Łączna 115. 26-140 Łączna do dnia </w:t>
                  </w:r>
                  <w:r w:rsidR="00786B57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30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</w:t>
                  </w:r>
                  <w:r w:rsidR="00CF23A4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stycznia</w:t>
                  </w:r>
                  <w:r w:rsidR="00AA761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201</w:t>
                  </w:r>
                  <w:r w:rsidR="00CF23A4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9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r. do godz. </w:t>
                  </w:r>
                  <w:r w:rsidR="00AA761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1</w:t>
                  </w:r>
                  <w:r w:rsidR="00CF23A4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0</w:t>
                  </w:r>
                  <w:r w:rsidR="00AA761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:00</w:t>
                  </w:r>
                  <w:r w:rsidR="00D30300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O zachowaniu terminu decyduje data wpływu do Zakładu. Oferty złożone po terminie nie będą rozpatrywane.</w:t>
                  </w:r>
                </w:p>
                <w:p w:rsidR="00397B76" w:rsidRDefault="00397B76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</w:p>
                <w:p w:rsidR="005903A5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lastRenderedPageBreak/>
                    <w:t>Kandydaci spełniający wymagania formalne zawarte w ogłoszeniu o naborze zostaną powiadomieni telefonicznie o terminie kolejnego etapu naboru (rozmowy kwalifikacyjnej), </w:t>
                  </w:r>
                  <w:r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a ich lista zostanie opublikowana na stronie internetowej Zakładu oraz na tablicy ogłoszeń w Zakładzie Gospodarki Komunalnej w Łącznej. </w:t>
                  </w:r>
                </w:p>
                <w:p w:rsidR="002E3792" w:rsidRDefault="005903A5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Przewidywany termin rozpoczęcia pracy </w:t>
                  </w:r>
                  <w:r w:rsidR="002C3CD9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01</w:t>
                  </w:r>
                  <w:r w:rsidR="00952C6E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.0</w:t>
                  </w:r>
                  <w:r w:rsidR="00CF23A4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3</w:t>
                  </w:r>
                  <w:r w:rsidR="00952C6E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.201</w:t>
                  </w:r>
                  <w:r w:rsidR="00AB3F0E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9</w:t>
                  </w:r>
                  <w:r w:rsidR="00397B76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="00952C6E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r.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Informacje dodatkowe o naborze można uzyskać w siedzibie Zakładu.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Osobą upoważnioną do kontaktu jest </w:t>
                  </w:r>
                  <w:r w:rsidR="00D036F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Marek Walkowicz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 xml:space="preserve"> – Kierownik Zakładu 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 xml:space="preserve">kom. </w:t>
                  </w:r>
                  <w:r w:rsidR="00D036F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510 096 627</w:t>
                  </w:r>
                  <w:r w:rsidR="0055240C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Kierownik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  <w:t>Zakładu Gospodarki Komunalnej </w:t>
                  </w:r>
                  <w:r w:rsidR="00DB3F3E" w:rsidRPr="00954501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br/>
                  </w:r>
                  <w:r w:rsidR="002E3792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Marek Walkow</w:t>
                  </w:r>
                  <w:r w:rsidR="00D036FF"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  <w:t>icz</w:t>
                  </w:r>
                </w:p>
                <w:p w:rsidR="002E3792" w:rsidRDefault="002E3792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</w:p>
                <w:p w:rsidR="002E3792" w:rsidRDefault="002E3792" w:rsidP="002E3792">
                  <w:pPr>
                    <w:spacing w:after="24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:rsidR="00DB3F3E" w:rsidRPr="007C5508" w:rsidRDefault="00DB3F3E" w:rsidP="002E3792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535353"/>
                      <w:lang w:eastAsia="pl-PL"/>
                    </w:rPr>
                  </w:pPr>
                  <w:r w:rsidRPr="0095450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  <w:r w:rsidRPr="0095450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</w:r>
                </w:p>
              </w:tc>
            </w:tr>
          </w:tbl>
          <w:p w:rsidR="00DB3F3E" w:rsidRPr="00954501" w:rsidRDefault="00DB3F3E" w:rsidP="00DB3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F3E" w:rsidRPr="00DB3F3E" w:rsidTr="00954501">
        <w:trPr>
          <w:trHeight w:val="52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B3F3E" w:rsidRPr="00954501" w:rsidRDefault="00DB3F3E" w:rsidP="00DB3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F3E" w:rsidRPr="00DB3F3E" w:rsidTr="0095450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B3F3E" w:rsidRPr="00954501" w:rsidRDefault="00DB3F3E" w:rsidP="00DB3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3F3E" w:rsidRPr="00DB3F3E" w:rsidTr="0095450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DB3F3E" w:rsidRPr="00DB3F3E" w:rsidRDefault="00DB3F3E" w:rsidP="00DB3F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0B3A82" w:rsidRDefault="000B3A82" w:rsidP="00DB3F3E"/>
    <w:sectPr w:rsidR="000B3A82" w:rsidSect="000B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F3E"/>
    <w:rsid w:val="000365EF"/>
    <w:rsid w:val="000B3A82"/>
    <w:rsid w:val="00142A78"/>
    <w:rsid w:val="00154C09"/>
    <w:rsid w:val="00247A72"/>
    <w:rsid w:val="00266807"/>
    <w:rsid w:val="002C3CD9"/>
    <w:rsid w:val="002E3792"/>
    <w:rsid w:val="003807E1"/>
    <w:rsid w:val="003948C0"/>
    <w:rsid w:val="00397B76"/>
    <w:rsid w:val="003F42B0"/>
    <w:rsid w:val="0040346A"/>
    <w:rsid w:val="004278F7"/>
    <w:rsid w:val="0055240C"/>
    <w:rsid w:val="005903A5"/>
    <w:rsid w:val="005E78C7"/>
    <w:rsid w:val="0066523B"/>
    <w:rsid w:val="006A4DC9"/>
    <w:rsid w:val="006D7D5B"/>
    <w:rsid w:val="007179F8"/>
    <w:rsid w:val="007475A0"/>
    <w:rsid w:val="00786B57"/>
    <w:rsid w:val="007918AD"/>
    <w:rsid w:val="007C5508"/>
    <w:rsid w:val="007D716A"/>
    <w:rsid w:val="008221BF"/>
    <w:rsid w:val="0086068D"/>
    <w:rsid w:val="00876C5F"/>
    <w:rsid w:val="00907F59"/>
    <w:rsid w:val="009405C2"/>
    <w:rsid w:val="0095298F"/>
    <w:rsid w:val="00952C6E"/>
    <w:rsid w:val="00954501"/>
    <w:rsid w:val="00AA761F"/>
    <w:rsid w:val="00AB3F0E"/>
    <w:rsid w:val="00AC3048"/>
    <w:rsid w:val="00AC541D"/>
    <w:rsid w:val="00B221C1"/>
    <w:rsid w:val="00C23FD5"/>
    <w:rsid w:val="00C42BD5"/>
    <w:rsid w:val="00C66311"/>
    <w:rsid w:val="00CF23A4"/>
    <w:rsid w:val="00D036FF"/>
    <w:rsid w:val="00D10740"/>
    <w:rsid w:val="00D30300"/>
    <w:rsid w:val="00DB3F3E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ED99"/>
  <w15:docId w15:val="{6AF071B1-43B0-4E8A-BB67-BB832742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3F3E"/>
    <w:rPr>
      <w:b/>
      <w:bCs/>
    </w:rPr>
  </w:style>
  <w:style w:type="character" w:customStyle="1" w:styleId="tekst">
    <w:name w:val="tekst"/>
    <w:basedOn w:val="Domylnaczcionkaakapitu"/>
    <w:rsid w:val="00DB3F3E"/>
  </w:style>
  <w:style w:type="character" w:customStyle="1" w:styleId="apple-converted-space">
    <w:name w:val="apple-converted-space"/>
    <w:basedOn w:val="Domylnaczcionkaakapitu"/>
    <w:rsid w:val="00DB3F3E"/>
  </w:style>
  <w:style w:type="character" w:customStyle="1" w:styleId="data">
    <w:name w:val="data"/>
    <w:basedOn w:val="Domylnaczcionkaakapitu"/>
    <w:rsid w:val="00DB3F3E"/>
  </w:style>
  <w:style w:type="character" w:styleId="Hipercze">
    <w:name w:val="Hyperlink"/>
    <w:basedOn w:val="Domylnaczcionkaakapitu"/>
    <w:uiPriority w:val="99"/>
    <w:semiHidden/>
    <w:unhideWhenUsed/>
    <w:rsid w:val="00DB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Walkowicz</dc:creator>
  <cp:lastModifiedBy>ZGK-WODA</cp:lastModifiedBy>
  <cp:revision>3</cp:revision>
  <cp:lastPrinted>2017-08-02T08:38:00Z</cp:lastPrinted>
  <dcterms:created xsi:type="dcterms:W3CDTF">2019-01-18T10:27:00Z</dcterms:created>
  <dcterms:modified xsi:type="dcterms:W3CDTF">2019-01-18T10:46:00Z</dcterms:modified>
</cp:coreProperties>
</file>